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0"/>
        <w:ind w:right="-6"/>
        <w:rPr>
          <w:rFonts w:hint="default" w:eastAsia="宋体"/>
          <w:lang w:val="en-US" w:eastAsia="zh-CN"/>
        </w:rPr>
      </w:pPr>
      <w:bookmarkStart w:id="0" w:name="OLE_LINK17"/>
      <w:r>
        <w:rPr>
          <w:rFonts w:eastAsia="宋体"/>
          <w:lang w:val="en-US" w:eastAsia="zh-CN"/>
        </w:rPr>
        <w:t>3GPP T</w:t>
      </w:r>
      <w:bookmarkStart w:id="1" w:name="_Ref452454252"/>
      <w:bookmarkEnd w:id="1"/>
      <w:r>
        <w:rPr>
          <w:rFonts w:eastAsia="宋体"/>
          <w:lang w:val="en-US" w:eastAsia="zh-CN"/>
        </w:rPr>
        <w:t>SG-RAN WG3 Meeting #</w:t>
      </w:r>
      <w:r>
        <w:rPr>
          <w:rFonts w:hint="eastAsia" w:eastAsia="宋体"/>
          <w:lang w:val="en-US" w:eastAsia="zh-CN"/>
        </w:rPr>
        <w:t>12</w:t>
      </w:r>
      <w:bookmarkEnd w:id="0"/>
      <w:r>
        <w:rPr>
          <w:rFonts w:hint="eastAsia" w:eastAsia="宋体"/>
          <w:lang w:val="en-US" w:eastAsia="zh-CN"/>
        </w:rPr>
        <w:t>9</w:t>
      </w:r>
      <w:r>
        <w:rPr>
          <w:rFonts w:eastAsia="宋体"/>
          <w:lang w:val="en-US" w:eastAsia="zh-CN"/>
        </w:rPr>
        <w:t xml:space="preserve">                                    </w:t>
      </w:r>
      <w:r>
        <w:rPr>
          <w:rFonts w:hint="eastAsia" w:eastAsia="宋体"/>
          <w:lang w:val="en-US" w:eastAsia="zh-CN"/>
        </w:rPr>
        <w:t xml:space="preserve">                       R3-255737</w:t>
      </w:r>
      <w:bookmarkStart w:id="7" w:name="_GoBack"/>
      <w:bookmarkEnd w:id="7"/>
    </w:p>
    <w:p>
      <w:pPr>
        <w:pStyle w:val="90"/>
        <w:ind w:right="-6"/>
        <w:rPr>
          <w:rFonts w:eastAsia="宋体"/>
          <w:lang w:val="en-US" w:eastAsia="zh-CN"/>
        </w:rPr>
      </w:pPr>
      <w:r>
        <w:rPr>
          <w:rFonts w:hint="eastAsia" w:eastAsia="宋体"/>
          <w:lang w:val="en-US" w:eastAsia="zh-CN"/>
        </w:rPr>
        <w:t>Bengaluru</w:t>
      </w:r>
      <w:r>
        <w:rPr>
          <w:rFonts w:eastAsia="宋体"/>
          <w:lang w:val="en-US" w:eastAsia="zh-CN"/>
        </w:rPr>
        <w:t xml:space="preserve">, </w:t>
      </w:r>
      <w:r>
        <w:rPr>
          <w:rFonts w:hint="eastAsia" w:eastAsia="宋体"/>
          <w:lang w:val="en-US" w:eastAsia="zh-CN"/>
        </w:rPr>
        <w:t>Indian, 25</w:t>
      </w:r>
      <w:r>
        <w:rPr>
          <w:rFonts w:eastAsia="宋体"/>
          <w:lang w:val="en-US" w:eastAsia="zh-CN"/>
        </w:rPr>
        <w:t>th – 2</w:t>
      </w:r>
      <w:r>
        <w:rPr>
          <w:rFonts w:hint="eastAsia" w:eastAsia="宋体"/>
          <w:lang w:val="en-US" w:eastAsia="zh-CN"/>
        </w:rPr>
        <w:t>9th</w:t>
      </w:r>
      <w:r>
        <w:rPr>
          <w:rFonts w:eastAsia="宋体"/>
          <w:lang w:val="en-US" w:eastAsia="zh-CN"/>
        </w:rPr>
        <w:t xml:space="preserve"> </w:t>
      </w:r>
      <w:r>
        <w:rPr>
          <w:rFonts w:hint="eastAsia" w:eastAsia="宋体"/>
          <w:lang w:val="en-US" w:eastAsia="zh-CN"/>
        </w:rPr>
        <w:t>Aug</w:t>
      </w:r>
      <w:r>
        <w:rPr>
          <w:rFonts w:eastAsia="宋体"/>
          <w:lang w:val="en-US" w:eastAsia="zh-CN"/>
        </w:rPr>
        <w:t xml:space="preserve">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t>3</w:t>
            </w:r>
            <w:r>
              <w:rPr>
                <w:rFonts w:hint="eastAsia"/>
                <w:b/>
                <w:sz w:val="28"/>
                <w:lang w:val="en-US" w:eastAsia="zh-CN"/>
              </w:rPr>
              <w:t>7.320</w:t>
            </w:r>
          </w:p>
        </w:tc>
        <w:tc>
          <w:tcPr>
            <w:tcW w:w="709" w:type="dxa"/>
          </w:tcPr>
          <w:p>
            <w:pPr>
              <w:pStyle w:val="81"/>
              <w:spacing w:after="0"/>
              <w:jc w:val="center"/>
            </w:pPr>
            <w:r>
              <w:rPr>
                <w:b/>
                <w:sz w:val="28"/>
              </w:rPr>
              <w:t>CR</w:t>
            </w:r>
          </w:p>
        </w:tc>
        <w:tc>
          <w:tcPr>
            <w:tcW w:w="1276" w:type="dxa"/>
            <w:shd w:val="pct30" w:color="FFFF00" w:fill="auto"/>
          </w:tcPr>
          <w:p>
            <w:pPr>
              <w:pStyle w:val="81"/>
              <w:spacing w:after="0"/>
            </w:pP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32"/>
              </w:rPr>
              <w:t>1</w:t>
            </w:r>
            <w:r>
              <w:rPr>
                <w:rFonts w:hint="eastAsia"/>
                <w:b/>
                <w:sz w:val="32"/>
                <w:lang w:val="en-US" w:eastAsia="zh-CN"/>
              </w:rPr>
              <w:t>8</w:t>
            </w:r>
            <w:r>
              <w:rPr>
                <w:b/>
                <w:sz w:val="32"/>
              </w:rPr>
              <w:t>.</w:t>
            </w:r>
            <w:r>
              <w:rPr>
                <w:rFonts w:hint="eastAsia"/>
                <w:b/>
                <w:sz w:val="32"/>
                <w:lang w:val="en-US" w:eastAsia="zh-CN"/>
              </w:rPr>
              <w:t>4</w:t>
            </w:r>
            <w:r>
              <w:rPr>
                <w:b/>
                <w:sz w:val="32"/>
              </w:rPr>
              <w:t>.0</w:t>
            </w:r>
          </w:p>
        </w:tc>
        <w:tc>
          <w:tcPr>
            <w:tcW w:w="143" w:type="dxa"/>
            <w:tcBorders>
              <w:right w:val="single" w:color="auto" w:sz="4" w:space="0"/>
            </w:tcBorders>
          </w:tcPr>
          <w:p>
            <w:pPr>
              <w:pStyle w:val="81"/>
              <w:spacing w:after="0"/>
            </w:pPr>
          </w:p>
        </w:tc>
      </w:tr>
      <w:tr>
        <w:tc>
          <w:tcPr>
            <w:tcW w:w="9641" w:type="dxa"/>
            <w:gridSpan w:val="9"/>
            <w:tcBorders>
              <w:left w:val="single" w:color="auto" w:sz="4" w:space="0"/>
              <w:right w:val="single" w:color="auto" w:sz="4" w:space="0"/>
            </w:tcBorders>
          </w:tcPr>
          <w:p>
            <w:pPr>
              <w:pStyle w:val="81"/>
              <w:spacing w:after="0"/>
            </w:pPr>
          </w:p>
        </w:tc>
      </w:tr>
      <w:tr>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2" w:name="_Hlt497126619"/>
            <w:r>
              <w:rPr>
                <w:rStyle w:val="45"/>
                <w:rFonts w:cs="Arial"/>
                <w:b/>
                <w:i/>
                <w:color w:val="FF0000"/>
              </w:rPr>
              <w:t>L</w:t>
            </w:r>
            <w:bookmarkEnd w:id="2"/>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bookmarkStart w:id="3" w:name="OLE_LINK46"/>
            <w:r>
              <w:t>Clarification for propagation of MDT Configuration</w:t>
            </w:r>
            <w:bookmarkEnd w:id="3"/>
            <w:r>
              <w:rPr>
                <w:rFonts w:hint="eastAsia"/>
                <w:lang w:val="en-US" w:eastAsia="zh-CN"/>
              </w:rPr>
              <w:t xml:space="preserve"> in stage2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lang w:val="en-US"/>
              </w:rPr>
            </w:pPr>
            <w:r>
              <w:t>ZTE</w:t>
            </w:r>
            <w:r>
              <w:rPr>
                <w:rFonts w:hint="eastAsia"/>
                <w:lang w:val="en-US" w:eastAsia="zh-CN"/>
              </w:rPr>
              <w:t xml:space="preserve"> Corporation,China Unicom,China Telecom,CMCC,Huawei</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bookmarkStart w:id="4" w:name="OLE_LINK48"/>
            <w:bookmarkStart w:id="5" w:name="OLE_LINK49"/>
            <w:r>
              <w:t>NR_SON_MDT-Core, TEI18</w:t>
            </w:r>
            <w:bookmarkEnd w:id="4"/>
            <w:bookmarkEnd w:id="5"/>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eastAsia" w:eastAsia="宋体"/>
                <w:lang w:val="en-US" w:eastAsia="zh-CN"/>
              </w:rPr>
            </w:pPr>
            <w:r>
              <w:t>2025-0</w:t>
            </w:r>
            <w:r>
              <w:rPr>
                <w:rFonts w:hint="eastAsia"/>
                <w:lang w:val="en-US" w:eastAsia="zh-CN"/>
              </w:rPr>
              <w:t>8</w:t>
            </w:r>
            <w:r>
              <w:t>-</w:t>
            </w:r>
            <w:r>
              <w:rPr>
                <w:rFonts w:hint="eastAsia"/>
                <w:lang w:val="en-US" w:eastAsia="zh-CN"/>
              </w:rPr>
              <w:t>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bCs/>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ascii="Arial" w:hAnsi="Arial" w:cs="Times New Roman"/>
                <w:lang w:val="en-US" w:eastAsia="zh-CN"/>
              </w:rPr>
            </w:pPr>
            <w:r>
              <w:rPr>
                <w:rFonts w:hint="eastAsia" w:ascii="Arial" w:hAnsi="Arial" w:cs="Times New Roman"/>
                <w:lang w:val="en-US" w:eastAsia="zh-CN"/>
              </w:rPr>
              <w:t xml:space="preserve">1: </w:t>
            </w:r>
            <w:r>
              <w:rPr>
                <w:rFonts w:ascii="Arial" w:hAnsi="Arial" w:cs="Times New Roman"/>
              </w:rPr>
              <w:t>In NR, while MDT context handling during Secondary Node Addition is specified in Stage 3, it is absent from Stage 2. The current Stage 2 specification covers only handover and UE context retrieval procedures. This discrepancy between Stage 2 and Stage 3 requires correction</w:t>
            </w:r>
            <w:r>
              <w:rPr>
                <w:rFonts w:hint="eastAsia" w:ascii="Arial" w:hAnsi="Arial" w:cs="Times New Roman"/>
                <w:lang w:val="en-US" w:eastAsia="zh-CN"/>
              </w:rPr>
              <w:t>.</w:t>
            </w:r>
          </w:p>
          <w:p>
            <w:pPr>
              <w:pStyle w:val="81"/>
              <w:spacing w:after="0"/>
              <w:ind w:left="100"/>
              <w:rPr>
                <w:rFonts w:hint="eastAsia"/>
                <w:lang w:val="en-US" w:eastAsia="zh-CN"/>
              </w:rPr>
            </w:pPr>
          </w:p>
          <w:p>
            <w:pPr>
              <w:pStyle w:val="81"/>
              <w:spacing w:after="0"/>
              <w:ind w:left="100"/>
              <w:rPr>
                <w:rFonts w:hint="default" w:eastAsia="宋体" w:cs="Arial"/>
                <w:lang w:val="en-US" w:eastAsia="zh-CN"/>
              </w:rPr>
            </w:pPr>
            <w:r>
              <w:rPr>
                <w:rFonts w:hint="eastAsia"/>
                <w:lang w:val="en-US" w:eastAsia="zh-CN"/>
              </w:rPr>
              <w:t>2</w:t>
            </w:r>
            <w:r>
              <w:rPr>
                <w:rFonts w:hint="eastAsia" w:ascii="Arial" w:hAnsi="Arial" w:cs="Times New Roman"/>
                <w:lang w:val="en-US" w:eastAsia="zh-CN"/>
              </w:rPr>
              <w:t xml:space="preserve">: </w:t>
            </w:r>
            <w:r>
              <w:rPr>
                <w:rFonts w:ascii="Arial" w:hAnsi="Arial" w:cs="Times New Roman"/>
              </w:rPr>
              <w:t xml:space="preserve">Regarding intra-PLMN and inter-PLMN UE context retrieval, the </w:t>
            </w:r>
            <w:r>
              <w:rPr>
                <w:rFonts w:hint="eastAsia" w:cs="Times New Roman"/>
                <w:lang w:val="en-US" w:eastAsia="zh-CN"/>
              </w:rPr>
              <w:t xml:space="preserve">old </w:t>
            </w:r>
            <w:r>
              <w:rPr>
                <w:rFonts w:ascii="Arial" w:hAnsi="Arial" w:cs="Times New Roman"/>
              </w:rPr>
              <w:t xml:space="preserve">NG-RAN node cannot determine whether the retrieval procedure is inter-PLMN because it lacks knowledge of the target NG-RAN node's selected PLMN ID. The </w:t>
            </w:r>
            <w:r>
              <w:rPr>
                <w:rFonts w:hint="eastAsia" w:cs="Times New Roman"/>
                <w:lang w:val="en-US" w:eastAsia="zh-CN"/>
              </w:rPr>
              <w:t xml:space="preserve">old </w:t>
            </w:r>
            <w:r>
              <w:rPr>
                <w:rFonts w:ascii="Arial" w:hAnsi="Arial" w:cs="Times New Roman"/>
              </w:rPr>
              <w:t xml:space="preserve">NG-RAN node provides the MDT configuration to the </w:t>
            </w:r>
            <w:r>
              <w:rPr>
                <w:rFonts w:hint="eastAsia" w:cs="Times New Roman"/>
                <w:lang w:val="en-US" w:eastAsia="zh-CN"/>
              </w:rPr>
              <w:t xml:space="preserve">new </w:t>
            </w:r>
            <w:r>
              <w:rPr>
                <w:rFonts w:ascii="Arial" w:hAnsi="Arial" w:cs="Times New Roman"/>
              </w:rPr>
              <w:t xml:space="preserve">if available, allowing the </w:t>
            </w:r>
            <w:r>
              <w:rPr>
                <w:rFonts w:hint="eastAsia" w:cs="Times New Roman"/>
                <w:lang w:val="en-US" w:eastAsia="zh-CN"/>
              </w:rPr>
              <w:t xml:space="preserve">new </w:t>
            </w:r>
            <w:r>
              <w:rPr>
                <w:rFonts w:ascii="Arial" w:hAnsi="Arial" w:cs="Times New Roman"/>
              </w:rPr>
              <w:t>NG-RAN node to decide whether to retain the configuration. Consequently, the differentiation in UE context retrieval procedures between intra-PLMN and inter-PLMN scenarios should be eliminated.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ascii="Arial" w:hAnsi="Arial" w:eastAsia="宋体" w:cs="Times New Roman"/>
                <w:lang w:val="en-US" w:eastAsia="zh-CN"/>
              </w:rPr>
            </w:pPr>
            <w:r>
              <w:rPr>
                <w:rFonts w:hint="eastAsia" w:ascii="Arial" w:hAnsi="Arial" w:cs="Times New Roman"/>
                <w:lang w:val="en-US" w:eastAsia="zh-CN"/>
              </w:rPr>
              <w:t>1:</w:t>
            </w:r>
            <w:r>
              <w:rPr>
                <w:rFonts w:ascii="Arial" w:hAnsi="Arial" w:cs="Times New Roman"/>
              </w:rPr>
              <w:t>Stage 2 description is added to specify that the propagate the MDT configuration during the Secondary Node Addition procedure</w:t>
            </w:r>
            <w:r>
              <w:rPr>
                <w:rFonts w:hint="eastAsia" w:ascii="Arial" w:hAnsi="Arial" w:cs="Times New Roman"/>
                <w:lang w:val="en-US" w:eastAsia="zh-CN"/>
              </w:rPr>
              <w:t>.</w:t>
            </w:r>
          </w:p>
          <w:p>
            <w:pPr>
              <w:pStyle w:val="81"/>
              <w:spacing w:after="0"/>
              <w:ind w:left="100"/>
              <w:rPr>
                <w:color w:val="FF0000"/>
              </w:rPr>
            </w:pPr>
          </w:p>
          <w:p>
            <w:pPr>
              <w:pStyle w:val="81"/>
              <w:spacing w:after="0"/>
              <w:ind w:left="100"/>
              <w:rPr>
                <w:rFonts w:hint="default" w:eastAsia="宋体"/>
                <w:lang w:val="en-US" w:eastAsia="zh-CN"/>
              </w:rPr>
            </w:pPr>
            <w:r>
              <w:rPr>
                <w:rFonts w:hint="eastAsia"/>
                <w:lang w:val="en-US" w:eastAsia="zh-CN"/>
              </w:rPr>
              <w:t>2: P</w:t>
            </w:r>
            <w:r>
              <w:t>ropagate</w:t>
            </w:r>
            <w:r>
              <w:rPr>
                <w:rFonts w:hint="eastAsia"/>
                <w:lang w:val="en-US" w:eastAsia="zh-CN"/>
              </w:rPr>
              <w:t xml:space="preserve"> MDT configuration during UE context retrieval,remove the </w:t>
            </w:r>
            <w:r>
              <w:rPr>
                <w:rFonts w:hint="eastAsia" w:ascii="Arial" w:hAnsi="Arial" w:cs="Times New Roman"/>
                <w:lang w:val="en-US" w:eastAsia="zh-CN"/>
              </w:rPr>
              <w:t>differentiation of intra-PLMN and inter-PLMN scenarios.</w:t>
            </w:r>
          </w:p>
          <w:p>
            <w:pPr>
              <w:spacing w:after="0"/>
              <w:ind w:left="100"/>
              <w:rPr>
                <w:rFonts w:ascii="Arial" w:hAnsi="Arial"/>
                <w:u w:val="single"/>
              </w:rPr>
            </w:pPr>
          </w:p>
          <w:p>
            <w:pPr>
              <w:spacing w:after="0"/>
              <w:ind w:left="100"/>
              <w:rPr>
                <w:rFonts w:ascii="Arial" w:hAnsi="Arial"/>
                <w:u w:val="single"/>
              </w:rPr>
            </w:pPr>
            <w:r>
              <w:rPr>
                <w:rFonts w:ascii="Arial" w:hAnsi="Arial"/>
                <w:u w:val="single"/>
              </w:rPr>
              <w:t>Impact Analysis:</w:t>
            </w:r>
          </w:p>
          <w:p>
            <w:pPr>
              <w:spacing w:after="0"/>
              <w:ind w:left="100"/>
              <w:rPr>
                <w:rFonts w:ascii="Arial" w:hAnsi="Arial"/>
              </w:rPr>
            </w:pPr>
            <w:r>
              <w:rPr>
                <w:rFonts w:ascii="Arial" w:hAnsi="Arial"/>
              </w:rPr>
              <w:t xml:space="preserve">Impact assessment towards the previous version of the specification (same release): </w:t>
            </w:r>
          </w:p>
          <w:p>
            <w:pPr>
              <w:spacing w:after="0"/>
              <w:ind w:left="100"/>
              <w:rPr>
                <w:rFonts w:ascii="Arial" w:hAnsi="Arial"/>
              </w:rPr>
            </w:pPr>
            <w:r>
              <w:rPr>
                <w:rFonts w:ascii="Arial" w:hAnsi="Arial"/>
              </w:rPr>
              <w:t>The CR has isolated impact.</w:t>
            </w:r>
          </w:p>
          <w:p>
            <w:pPr>
              <w:spacing w:after="0"/>
              <w:ind w:left="100"/>
            </w:pPr>
            <w:r>
              <w:rPr>
                <w:rFonts w:ascii="Arial" w:hAnsi="Arial"/>
              </w:rPr>
              <w:t>The CR is backwards compatible from a protocol point of view.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Unclear specification with risk of inter-operability issue.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lang w:val="en-US" w:eastAsia="zh-CN"/>
              </w:rPr>
              <w:t>5.1.2.3</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lang w:val="en-US" w:eastAsia="zh-CN"/>
              </w:rPr>
            </w:pPr>
            <w:r>
              <w:rPr>
                <w:rFonts w:hint="eastAsia"/>
                <w:lang w:val="en-US" w:eastAsia="zh-CN"/>
              </w:rPr>
              <w:t>V1: Resubmit of R3-253738</w:t>
            </w:r>
          </w:p>
        </w:tc>
      </w:tr>
    </w:tbl>
    <w:p>
      <w:pPr>
        <w:pStyle w:val="81"/>
        <w:spacing w:after="0"/>
        <w:rPr>
          <w:sz w:val="8"/>
          <w:szCs w:val="8"/>
        </w:rPr>
      </w:pPr>
    </w:p>
    <w:p>
      <w:pPr>
        <w:pStyle w:val="5"/>
        <w:rPr>
          <w:rFonts w:hint="default" w:eastAsia="宋体"/>
          <w:lang w:val="en-US" w:eastAsia="zh-CN"/>
        </w:rPr>
      </w:pPr>
      <w:bookmarkStart w:id="6" w:name="_Toc178249396"/>
      <w:r>
        <w:rPr>
          <w:rFonts w:hint="eastAsia"/>
          <w:lang w:val="en-US" w:eastAsia="zh-CN"/>
        </w:rPr>
        <w:t>-------------------------------------------------Start of Change----------------------------------------------</w:t>
      </w:r>
    </w:p>
    <w:p>
      <w:pPr>
        <w:pStyle w:val="5"/>
      </w:pPr>
      <w:r>
        <w:t>5.1.2.3</w:t>
      </w:r>
      <w:r>
        <w:tab/>
      </w:r>
      <w:r>
        <w:t>MDT context handling during handover and UE context retrieval</w:t>
      </w:r>
      <w:bookmarkEnd w:id="6"/>
    </w:p>
    <w:p>
      <w:pPr>
        <w:rPr>
          <w:lang w:eastAsia="zh-CN"/>
        </w:rPr>
      </w:pPr>
      <w:r>
        <w:t>The measurements configured in the UE for Immediate MDT should fully comply with the transferring and reconfiguration principles for the current measurements configured in the UE for RRM purpose during handover (including conformance with Rel-8 and Rel-9).</w:t>
      </w:r>
    </w:p>
    <w:p>
      <w:r>
        <w:t>The target node releases the measurements configured in the UE for immediate MDT which are no longer needed based on any MDT trace configuration it receives or does not receive.</w:t>
      </w:r>
    </w:p>
    <w:p>
      <w:r>
        <w:t>In addition, MDT configuration handling during handover and UE context retrieval depends on MDT initiation from OAM defined in clause 5.1.3:</w:t>
      </w:r>
    </w:p>
    <w:p>
      <w:pPr>
        <w:pStyle w:val="75"/>
      </w:pPr>
      <w:r>
        <w:t>-</w:t>
      </w:r>
      <w:r>
        <w:tab/>
      </w:r>
      <w:r>
        <w:t>The MDT configuration configured by management based trace function will not propagate during handover.</w:t>
      </w:r>
    </w:p>
    <w:p>
      <w:pPr>
        <w:pStyle w:val="75"/>
      </w:pPr>
      <w:r>
        <w:t>-</w:t>
      </w:r>
      <w:r>
        <w:tab/>
      </w:r>
      <w:r>
        <w:t>For LTE, the MDT configuration received by signalling based trace messages for a specific UE will propagate during intra-PLMN handover, and may propagate during inter-PLMN handover if the Signalling Based MDT PLMN List is available and includes the target PLMN. This behaviour applies also for MDT configuration that includes area scope, regardless of whether the source or target cell is part of the configured area scope. This behaviour applies also for Xn inter-RAT handover.</w:t>
      </w:r>
    </w:p>
    <w:p>
      <w:pPr>
        <w:pStyle w:val="75"/>
      </w:pPr>
      <w:r>
        <w:t>-</w:t>
      </w:r>
      <w:r>
        <w:tab/>
      </w:r>
      <w:r>
        <w:t>For UMTS, the MDT configuration received by signalling based trace messages for a specific UE will continue during intra-PLMN handover, and may continue during inter-PLMN handover if the Signalling Based MDT PLMN List is available and includes the target PLMN, except for the case of SRNS relocation.</w:t>
      </w:r>
    </w:p>
    <w:p>
      <w:pPr>
        <w:pStyle w:val="75"/>
      </w:pPr>
      <w:r>
        <w:t>-</w:t>
      </w:r>
      <w:r>
        <w:tab/>
      </w:r>
      <w:r>
        <w:t xml:space="preserve">For NR, the MDT configuration received by signalling based trace messages for a specific UE will propagate during intra-PLMN handover, </w:t>
      </w:r>
      <w:del w:id="0" w:author="ZTE" w:date="2025-03-26T19:20:41Z">
        <w:r>
          <w:rPr/>
          <w:delText>intra-PLMN</w:delText>
        </w:r>
      </w:del>
      <w:del w:id="1" w:author="ZTE" w:date="2025-03-26T19:20:42Z">
        <w:r>
          <w:rPr/>
          <w:delText xml:space="preserve"> </w:delText>
        </w:r>
      </w:del>
      <w:r>
        <w:t>UE context retrieval</w:t>
      </w:r>
      <w:ins w:id="2" w:author="ZTE" w:date="2025-03-26T19:20:45Z">
        <w:r>
          <w:rPr>
            <w:rFonts w:hint="eastAsia"/>
            <w:lang w:val="en-US" w:eastAsia="zh-CN"/>
          </w:rPr>
          <w:t xml:space="preserve"> </w:t>
        </w:r>
      </w:ins>
      <w:ins w:id="3" w:author="ZTE" w:date="2025-03-26T19:20:46Z">
        <w:r>
          <w:rPr>
            <w:rFonts w:hint="eastAsia"/>
            <w:lang w:val="en-US" w:eastAsia="zh-CN"/>
          </w:rPr>
          <w:t>and</w:t>
        </w:r>
      </w:ins>
      <w:ins w:id="4" w:author="ZTE" w:date="2025-03-26T19:20:47Z">
        <w:r>
          <w:rPr>
            <w:rFonts w:hint="eastAsia"/>
            <w:lang w:val="en-US" w:eastAsia="zh-CN"/>
          </w:rPr>
          <w:t xml:space="preserve"> </w:t>
        </w:r>
      </w:ins>
      <w:ins w:id="5" w:author="ZTE" w:date="2025-03-26T19:21:19Z">
        <w:r>
          <w:rPr>
            <w:rFonts w:hint="eastAsia"/>
            <w:lang w:val="en-US" w:eastAsia="zh-CN"/>
          </w:rPr>
          <w:t>Secondary Node Addition</w:t>
        </w:r>
      </w:ins>
      <w:r>
        <w:t>, and may propagate during inter-PLMN handover</w:t>
      </w:r>
      <w:del w:id="6" w:author="ZTE" w:date="2025-03-26T19:21:29Z">
        <w:r>
          <w:rPr/>
          <w:delText xml:space="preserve"> or inter-PLMN UE context retrieval</w:delText>
        </w:r>
      </w:del>
      <w:r>
        <w:t xml:space="preserve"> if the Signalling Based MDT PLMN List is available and includes the target PLMN. This behaviour applies also for MDT configuration that includes area scope, regardless of whether the source or target cell is part of the configured area scope. This behaviour applies also for Xn inter-RAT handover.</w:t>
      </w:r>
    </w:p>
    <w:p>
      <w:pPr>
        <w:pStyle w:val="56"/>
      </w:pPr>
      <w:r>
        <w:t>NOTE:</w:t>
      </w:r>
      <w:r>
        <w:tab/>
      </w:r>
      <w:r>
        <w:t>In the case of SRNS relocation, MDT may be reactivated by the Core Network following a successful relocation.</w:t>
      </w:r>
    </w:p>
    <w:p>
      <w:pPr>
        <w:pStyle w:val="5"/>
        <w:rPr>
          <w:rFonts w:hint="default" w:eastAsia="宋体"/>
          <w:lang w:val="en-US" w:eastAsia="zh-CN"/>
        </w:rPr>
      </w:pPr>
      <w:r>
        <w:rPr>
          <w:rFonts w:hint="eastAsia"/>
          <w:lang w:val="en-US" w:eastAsia="zh-CN"/>
        </w:rPr>
        <w:t>-------------------------------------------------End of Change----------------------------------------------</w:t>
      </w:r>
    </w:p>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647"/>
    <w:rsid w:val="00047ACD"/>
    <w:rsid w:val="00070E09"/>
    <w:rsid w:val="000A6394"/>
    <w:rsid w:val="000B7FED"/>
    <w:rsid w:val="000C038A"/>
    <w:rsid w:val="000C6598"/>
    <w:rsid w:val="000C7FB6"/>
    <w:rsid w:val="000D44B3"/>
    <w:rsid w:val="00134383"/>
    <w:rsid w:val="001424C4"/>
    <w:rsid w:val="00145D43"/>
    <w:rsid w:val="00145E2E"/>
    <w:rsid w:val="00192C46"/>
    <w:rsid w:val="00195AAE"/>
    <w:rsid w:val="001A08B3"/>
    <w:rsid w:val="001A7B60"/>
    <w:rsid w:val="001B52F0"/>
    <w:rsid w:val="001B7A65"/>
    <w:rsid w:val="001E41F3"/>
    <w:rsid w:val="0026004D"/>
    <w:rsid w:val="002640DD"/>
    <w:rsid w:val="00275D12"/>
    <w:rsid w:val="00284FEB"/>
    <w:rsid w:val="002860C4"/>
    <w:rsid w:val="002B5741"/>
    <w:rsid w:val="002D138E"/>
    <w:rsid w:val="002E472E"/>
    <w:rsid w:val="002F7B69"/>
    <w:rsid w:val="00305409"/>
    <w:rsid w:val="003336E3"/>
    <w:rsid w:val="0034294E"/>
    <w:rsid w:val="003609EF"/>
    <w:rsid w:val="0036231A"/>
    <w:rsid w:val="003748EE"/>
    <w:rsid w:val="00374DD4"/>
    <w:rsid w:val="003E1A36"/>
    <w:rsid w:val="00410371"/>
    <w:rsid w:val="004242F1"/>
    <w:rsid w:val="004B75B7"/>
    <w:rsid w:val="004C0197"/>
    <w:rsid w:val="004C4BDC"/>
    <w:rsid w:val="005141D9"/>
    <w:rsid w:val="0051580D"/>
    <w:rsid w:val="00547111"/>
    <w:rsid w:val="00592D74"/>
    <w:rsid w:val="005D0342"/>
    <w:rsid w:val="005E2C44"/>
    <w:rsid w:val="005F75B9"/>
    <w:rsid w:val="00606FC6"/>
    <w:rsid w:val="00621188"/>
    <w:rsid w:val="006257ED"/>
    <w:rsid w:val="00653DE4"/>
    <w:rsid w:val="0065644F"/>
    <w:rsid w:val="00665C47"/>
    <w:rsid w:val="006771DC"/>
    <w:rsid w:val="00695808"/>
    <w:rsid w:val="006B46FB"/>
    <w:rsid w:val="006D1BEB"/>
    <w:rsid w:val="006E21FB"/>
    <w:rsid w:val="007501DB"/>
    <w:rsid w:val="00771BE7"/>
    <w:rsid w:val="00774A26"/>
    <w:rsid w:val="00792342"/>
    <w:rsid w:val="007977A8"/>
    <w:rsid w:val="007B512A"/>
    <w:rsid w:val="007C2097"/>
    <w:rsid w:val="007D5470"/>
    <w:rsid w:val="007D6A07"/>
    <w:rsid w:val="007F7259"/>
    <w:rsid w:val="008040A8"/>
    <w:rsid w:val="008279FA"/>
    <w:rsid w:val="00845376"/>
    <w:rsid w:val="008626E7"/>
    <w:rsid w:val="00870EE7"/>
    <w:rsid w:val="008863B9"/>
    <w:rsid w:val="00892731"/>
    <w:rsid w:val="008A45A6"/>
    <w:rsid w:val="008D3CCC"/>
    <w:rsid w:val="008F3789"/>
    <w:rsid w:val="008F686C"/>
    <w:rsid w:val="0090268D"/>
    <w:rsid w:val="009135C0"/>
    <w:rsid w:val="009148DE"/>
    <w:rsid w:val="00924E29"/>
    <w:rsid w:val="00931148"/>
    <w:rsid w:val="00941E30"/>
    <w:rsid w:val="009531B0"/>
    <w:rsid w:val="009602FA"/>
    <w:rsid w:val="0096399C"/>
    <w:rsid w:val="009741B3"/>
    <w:rsid w:val="009777D9"/>
    <w:rsid w:val="00991B88"/>
    <w:rsid w:val="009A5753"/>
    <w:rsid w:val="009A579D"/>
    <w:rsid w:val="009E3297"/>
    <w:rsid w:val="009F12B1"/>
    <w:rsid w:val="009F734F"/>
    <w:rsid w:val="00A004E0"/>
    <w:rsid w:val="00A246B6"/>
    <w:rsid w:val="00A41353"/>
    <w:rsid w:val="00A47E70"/>
    <w:rsid w:val="00A50CF0"/>
    <w:rsid w:val="00A7671C"/>
    <w:rsid w:val="00A941E2"/>
    <w:rsid w:val="00AA2CBC"/>
    <w:rsid w:val="00AB56EA"/>
    <w:rsid w:val="00AC5820"/>
    <w:rsid w:val="00AD1CD8"/>
    <w:rsid w:val="00AD5CE3"/>
    <w:rsid w:val="00AE134D"/>
    <w:rsid w:val="00B16A69"/>
    <w:rsid w:val="00B258BB"/>
    <w:rsid w:val="00B67B97"/>
    <w:rsid w:val="00B82B4A"/>
    <w:rsid w:val="00B968C8"/>
    <w:rsid w:val="00BA3EC5"/>
    <w:rsid w:val="00BA51D9"/>
    <w:rsid w:val="00BB1DCC"/>
    <w:rsid w:val="00BB5DFC"/>
    <w:rsid w:val="00BD279D"/>
    <w:rsid w:val="00BD6BB8"/>
    <w:rsid w:val="00BF20BA"/>
    <w:rsid w:val="00C50C98"/>
    <w:rsid w:val="00C66BA2"/>
    <w:rsid w:val="00C844A4"/>
    <w:rsid w:val="00C870F6"/>
    <w:rsid w:val="00C95985"/>
    <w:rsid w:val="00CC5026"/>
    <w:rsid w:val="00CC68D0"/>
    <w:rsid w:val="00CE5A58"/>
    <w:rsid w:val="00D03F9A"/>
    <w:rsid w:val="00D06D51"/>
    <w:rsid w:val="00D1322E"/>
    <w:rsid w:val="00D24991"/>
    <w:rsid w:val="00D4255A"/>
    <w:rsid w:val="00D50255"/>
    <w:rsid w:val="00D66520"/>
    <w:rsid w:val="00D80699"/>
    <w:rsid w:val="00D84AE9"/>
    <w:rsid w:val="00D9124E"/>
    <w:rsid w:val="00DE34CF"/>
    <w:rsid w:val="00E01C1C"/>
    <w:rsid w:val="00E13F3D"/>
    <w:rsid w:val="00E34898"/>
    <w:rsid w:val="00EB09B7"/>
    <w:rsid w:val="00ED5BA3"/>
    <w:rsid w:val="00EE7D7C"/>
    <w:rsid w:val="00F25D98"/>
    <w:rsid w:val="00F300FB"/>
    <w:rsid w:val="00F562A0"/>
    <w:rsid w:val="00F57BF5"/>
    <w:rsid w:val="00FB6386"/>
    <w:rsid w:val="00FC2F2E"/>
    <w:rsid w:val="012D111D"/>
    <w:rsid w:val="01751717"/>
    <w:rsid w:val="07961BBB"/>
    <w:rsid w:val="0D27321B"/>
    <w:rsid w:val="1B9E0CAC"/>
    <w:rsid w:val="1E2C7696"/>
    <w:rsid w:val="1EF65C58"/>
    <w:rsid w:val="1F6B35EA"/>
    <w:rsid w:val="209B760D"/>
    <w:rsid w:val="21361A0A"/>
    <w:rsid w:val="21495D10"/>
    <w:rsid w:val="233B7199"/>
    <w:rsid w:val="2480139F"/>
    <w:rsid w:val="26FB72DE"/>
    <w:rsid w:val="28A718C1"/>
    <w:rsid w:val="29F27C8B"/>
    <w:rsid w:val="2D1A0E47"/>
    <w:rsid w:val="2E024673"/>
    <w:rsid w:val="2F9A414A"/>
    <w:rsid w:val="31B8211E"/>
    <w:rsid w:val="35CE42B2"/>
    <w:rsid w:val="35E8793F"/>
    <w:rsid w:val="360B7EBA"/>
    <w:rsid w:val="3B3955B9"/>
    <w:rsid w:val="413C1A16"/>
    <w:rsid w:val="41F914B6"/>
    <w:rsid w:val="424D3AE0"/>
    <w:rsid w:val="449811A4"/>
    <w:rsid w:val="46613667"/>
    <w:rsid w:val="47433F27"/>
    <w:rsid w:val="4E6D0ABA"/>
    <w:rsid w:val="4ED01F93"/>
    <w:rsid w:val="51203526"/>
    <w:rsid w:val="525A0800"/>
    <w:rsid w:val="59C828EE"/>
    <w:rsid w:val="66314E6E"/>
    <w:rsid w:val="6D170809"/>
    <w:rsid w:val="6FA12701"/>
    <w:rsid w:val="739255DF"/>
    <w:rsid w:val="7B5C60F0"/>
    <w:rsid w:val="7DE939DD"/>
    <w:rsid w:val="7E7B0E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9"/>
    <w:qFormat/>
    <w:uiPriority w:val="0"/>
    <w:rPr>
      <w:b/>
    </w:rPr>
  </w:style>
  <w:style w:type="paragraph" w:customStyle="1" w:styleId="52">
    <w:name w:val="TAC"/>
    <w:basedOn w:val="53"/>
    <w:qFormat/>
    <w:uiPriority w:val="0"/>
    <w:pPr>
      <w:jc w:val="center"/>
    </w:pPr>
  </w:style>
  <w:style w:type="paragraph" w:customStyle="1" w:styleId="53">
    <w:name w:val="TAL"/>
    <w:basedOn w:val="1"/>
    <w:link w:val="88"/>
    <w:qFormat/>
    <w:uiPriority w:val="0"/>
    <w:pPr>
      <w:keepNext/>
      <w:keepLines/>
      <w:spacing w:after="0"/>
    </w:pPr>
    <w:rPr>
      <w:rFonts w:ascii="Arial" w:hAnsi="Arial"/>
      <w:sz w:val="18"/>
    </w:rPr>
  </w:style>
  <w:style w:type="paragraph" w:customStyle="1" w:styleId="54">
    <w:name w:val="TF"/>
    <w:basedOn w:val="55"/>
    <w:link w:val="86"/>
    <w:qFormat/>
    <w:uiPriority w:val="0"/>
    <w:pPr>
      <w:keepNext w:val="0"/>
      <w:spacing w:before="0" w:after="240"/>
    </w:pPr>
  </w:style>
  <w:style w:type="paragraph" w:customStyle="1" w:styleId="55">
    <w:name w:val="TH"/>
    <w:basedOn w:val="1"/>
    <w:link w:val="85"/>
    <w:qFormat/>
    <w:uiPriority w:val="0"/>
    <w:pPr>
      <w:keepNext/>
      <w:keepLines/>
      <w:spacing w:before="60"/>
      <w:jc w:val="center"/>
    </w:pPr>
    <w:rPr>
      <w:rFonts w:ascii="Arial" w:hAnsi="Arial"/>
      <w:b/>
    </w:rPr>
  </w:style>
  <w:style w:type="paragraph" w:customStyle="1" w:styleId="56">
    <w:name w:val="NO"/>
    <w:basedOn w:val="1"/>
    <w:link w:val="87"/>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3"/>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B1 Char"/>
    <w:link w:val="75"/>
    <w:qFormat/>
    <w:uiPriority w:val="0"/>
    <w:rPr>
      <w:rFonts w:ascii="Times New Roman" w:hAnsi="Times New Roman"/>
      <w:lang w:val="en-GB" w:eastAsia="en-US"/>
    </w:rPr>
  </w:style>
  <w:style w:type="paragraph" w:customStyle="1" w:styleId="84">
    <w:name w:val="Revision"/>
    <w:hidden/>
    <w:semiHidden/>
    <w:qFormat/>
    <w:uiPriority w:val="99"/>
    <w:rPr>
      <w:rFonts w:ascii="Times New Roman" w:hAnsi="Times New Roman" w:eastAsia="宋体" w:cs="Times New Roman"/>
      <w:lang w:val="en-GB" w:eastAsia="en-US" w:bidi="ar-SA"/>
    </w:rPr>
  </w:style>
  <w:style w:type="character" w:customStyle="1" w:styleId="85">
    <w:name w:val="TH Char"/>
    <w:link w:val="55"/>
    <w:qFormat/>
    <w:uiPriority w:val="0"/>
    <w:rPr>
      <w:rFonts w:ascii="Arial" w:hAnsi="Arial"/>
      <w:b/>
      <w:lang w:val="en-GB" w:eastAsia="en-US"/>
    </w:rPr>
  </w:style>
  <w:style w:type="character" w:customStyle="1" w:styleId="86">
    <w:name w:val="TF Char"/>
    <w:link w:val="54"/>
    <w:qFormat/>
    <w:uiPriority w:val="0"/>
    <w:rPr>
      <w:rFonts w:ascii="Arial" w:hAnsi="Arial"/>
      <w:b/>
      <w:lang w:val="en-GB" w:eastAsia="en-US"/>
    </w:rPr>
  </w:style>
  <w:style w:type="character" w:customStyle="1" w:styleId="87">
    <w:name w:val="NO Char"/>
    <w:link w:val="56"/>
    <w:qFormat/>
    <w:uiPriority w:val="0"/>
    <w:rPr>
      <w:rFonts w:ascii="Times New Roman" w:hAnsi="Times New Roman"/>
      <w:lang w:val="en-GB" w:eastAsia="en-US"/>
    </w:rPr>
  </w:style>
  <w:style w:type="character" w:customStyle="1" w:styleId="88">
    <w:name w:val="TAL Char"/>
    <w:link w:val="53"/>
    <w:qFormat/>
    <w:uiPriority w:val="0"/>
    <w:rPr>
      <w:rFonts w:ascii="Arial" w:hAnsi="Arial"/>
      <w:sz w:val="18"/>
      <w:lang w:val="en-GB" w:eastAsia="en-US"/>
    </w:rPr>
  </w:style>
  <w:style w:type="character" w:customStyle="1" w:styleId="89">
    <w:name w:val="TAH Char"/>
    <w:link w:val="51"/>
    <w:qFormat/>
    <w:uiPriority w:val="0"/>
    <w:rPr>
      <w:rFonts w:ascii="Arial" w:hAnsi="Arial"/>
      <w:b/>
      <w:sz w:val="18"/>
      <w:lang w:val="en-GB" w:eastAsia="en-US"/>
    </w:rPr>
  </w:style>
  <w:style w:type="paragraph" w:customStyle="1" w:styleId="90">
    <w:name w:val="3gpp title (city + tdoc number)"/>
    <w:basedOn w:val="34"/>
    <w:qFormat/>
    <w:uiPriority w:val="0"/>
    <w:pPr>
      <w:tabs>
        <w:tab w:val="right" w:pos="9923"/>
      </w:tabs>
      <w:overflowPunct/>
      <w:autoSpaceDE/>
      <w:autoSpaceDN/>
      <w:adjustRightInd/>
      <w:ind w:right="-7"/>
      <w:textAlignment w:val="auto"/>
    </w:pPr>
    <w:rPr>
      <w:rFonts w:eastAsia="Times New Roman"/>
      <w:sz w:val="24"/>
      <w:szCs w:val="2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72B370-659D-4EEE-BB60-BBBBADCD683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11</Pages>
  <Words>3490</Words>
  <Characters>19893</Characters>
  <Lines>165</Lines>
  <Paragraphs>46</Paragraphs>
  <TotalTime>24</TotalTime>
  <ScaleCrop>false</ScaleCrop>
  <LinksUpToDate>false</LinksUpToDate>
  <CharactersWithSpaces>23337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2025-02-20T07:35:00Z</dcterms:created>
  <dc:creator>Huawei</dc:creator>
  <cp:lastModifiedBy>ZTE2</cp:lastModifiedBy>
  <cp:lastPrinted>2411-12-31T23:00:00Z</cp:lastPrinted>
  <dcterms:modified xsi:type="dcterms:W3CDTF">2025-08-15T06:02:01Z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7DDEA30B1CBF45CD888BE7BA6D3451FC</vt:lpwstr>
  </property>
</Properties>
</file>